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45A0EBC3" w:rsidR="001166B5" w:rsidRPr="003A2F9F" w:rsidRDefault="003A2F9F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b/>
          <w:caps/>
          <w:color w:val="002060"/>
          <w:szCs w:val="24"/>
          <w:lang w:val="en-GB"/>
        </w:rPr>
      </w:pPr>
      <w:bookmarkStart w:id="0" w:name="_GoBack"/>
      <w:bookmarkEnd w:id="0"/>
      <w:r w:rsidRPr="003A2F9F">
        <w:rPr>
          <w:rFonts w:ascii="Verdana" w:hAnsi="Verdana"/>
          <w:b/>
          <w:caps/>
          <w:color w:val="002060"/>
          <w:szCs w:val="24"/>
          <w:lang w:val="en-GB"/>
        </w:rPr>
        <w:t>ANEXO ii</w:t>
      </w:r>
    </w:p>
    <w:p w14:paraId="49816670" w14:textId="77777777" w:rsidR="003A2F9F" w:rsidRPr="003A2F9F" w:rsidRDefault="003A2F9F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b/>
          <w:caps/>
          <w:color w:val="002060"/>
          <w:sz w:val="20"/>
          <w:lang w:val="en-GB"/>
        </w:rPr>
      </w:pPr>
    </w:p>
    <w:p w14:paraId="56E939CC" w14:textId="4CC9AE0B"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692AE49" w:rsidR="007A4430" w:rsidRDefault="007A4430" w:rsidP="00B51FD6">
      <w:pPr>
        <w:tabs>
          <w:tab w:val="left" w:pos="8171"/>
        </w:tabs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  <w:r w:rsidR="00B51FD6"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5087DD00" w:rsidR="00252D45" w:rsidRPr="00490F9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</w:r>
      <w:r w:rsidR="001F1468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33BDF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033BDF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A2F9F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A2F9F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A2F9F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A2F9F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218E1B92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1112C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43F9D902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56E93A4C" w14:textId="076AA5E6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1F1468">
              <w:rPr>
                <w:rFonts w:ascii="Verdana" w:hAnsi="Verdana" w:cs="Calibri"/>
                <w:sz w:val="20"/>
                <w:lang w:val="en-GB"/>
              </w:rPr>
              <w:t xml:space="preserve"> Ms Beatriz Marín </w:t>
            </w:r>
            <w:r w:rsidR="009442F5">
              <w:rPr>
                <w:rFonts w:ascii="Verdana" w:hAnsi="Verdana" w:cs="Calibri"/>
                <w:sz w:val="20"/>
                <w:lang w:val="en-GB"/>
              </w:rPr>
              <w:t>– Head of International Office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1CEC0" w14:textId="77777777" w:rsidR="00D8144A" w:rsidRDefault="00D8144A">
      <w:r>
        <w:separator/>
      </w:r>
    </w:p>
  </w:endnote>
  <w:endnote w:type="continuationSeparator" w:id="0">
    <w:p w14:paraId="0B3FC4BF" w14:textId="77777777" w:rsidR="00D8144A" w:rsidRDefault="00D8144A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Textonotaalfinal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Textonotaalfinal"/>
        <w:spacing w:after="100"/>
        <w:rPr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B223B0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B223B0">
        <w:rPr>
          <w:rFonts w:ascii="Verdana" w:hAnsi="Verdana"/>
          <w:sz w:val="16"/>
          <w:szCs w:val="16"/>
          <w:lang w:val="en-GB"/>
        </w:rPr>
        <w:t xml:space="preserve">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B223B0" w:rsidRDefault="00A568F8" w:rsidP="00B223B0">
      <w:pPr>
        <w:pStyle w:val="Textonotaalfinal"/>
        <w:spacing w:after="100"/>
        <w:rPr>
          <w:sz w:val="16"/>
          <w:szCs w:val="16"/>
          <w:lang w:val="en-GB"/>
        </w:rPr>
      </w:pPr>
      <w:r w:rsidRPr="00B223B0">
        <w:rPr>
          <w:rStyle w:val="Refdenotaalfinal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B223B0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672D6F" w:rsidRDefault="00F8532D" w:rsidP="00B223B0">
      <w:pPr>
        <w:pStyle w:val="Textonotaalfinal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ipervnculo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3286834E" w:rsidR="00153B61" w:rsidRPr="004208DA" w:rsidRDefault="00153B61" w:rsidP="00B223B0">
      <w:pPr>
        <w:pStyle w:val="Textonotaalfinal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Refdenotaalfinal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B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040BE" w14:textId="77777777" w:rsidR="00D8144A" w:rsidRDefault="00D8144A">
      <w:r>
        <w:separator/>
      </w:r>
    </w:p>
  </w:footnote>
  <w:footnote w:type="continuationSeparator" w:id="0">
    <w:p w14:paraId="48DE436A" w14:textId="77777777" w:rsidR="00D8144A" w:rsidRDefault="00D81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9" w14:textId="040C70D2" w:rsidR="00B6735A" w:rsidRPr="00B6735A" w:rsidRDefault="00B6735A" w:rsidP="00B51FD6">
    <w:pPr>
      <w:jc w:val="right"/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1A4319">
      <w:rPr>
        <w:rFonts w:ascii="Arial Narrow" w:hAnsi="Arial Narrow"/>
        <w:sz w:val="18"/>
        <w:szCs w:val="18"/>
        <w:lang w:val="en-GB"/>
      </w:rPr>
      <w:t xml:space="preserve"> </w:t>
    </w:r>
    <w:r w:rsidR="00C72865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3A2F9F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3BDF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5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1468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2F9F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B6702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2F5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1FD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44A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089B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e52a87e-fa0e-4867-9149-5c43122db7fb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75FCC34-0653-42B3-9BED-CBDCAF37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421</Words>
  <Characters>2596</Characters>
  <Application>Microsoft Office Word</Application>
  <DocSecurity>0</DocSecurity>
  <PresentationFormat>Microsoft Word 11.0</PresentationFormat>
  <Lines>21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3011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MORAL CIFUENTES, DAVID</cp:lastModifiedBy>
  <cp:revision>2</cp:revision>
  <cp:lastPrinted>2013-11-06T08:46:00Z</cp:lastPrinted>
  <dcterms:created xsi:type="dcterms:W3CDTF">2016-11-23T10:40:00Z</dcterms:created>
  <dcterms:modified xsi:type="dcterms:W3CDTF">2016-11-23T10:40:00Z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